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991697">
      <w:pPr>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B65A3F">
        <w:rPr>
          <w:rFonts w:ascii="Arial" w:hAnsi="Arial" w:cs="Arial"/>
          <w:b/>
          <w:sz w:val="22"/>
          <w:szCs w:val="22"/>
          <w:u w:val="single"/>
        </w:rPr>
        <w:t>23VV</w:t>
      </w:r>
    </w:p>
    <w:p w:rsidR="003154A2" w:rsidRPr="00517824" w:rsidRDefault="003154A2" w:rsidP="003154A2">
      <w:pPr>
        <w:spacing w:before="100"/>
        <w:ind w:left="426"/>
        <w:jc w:val="center"/>
        <w:rPr>
          <w:rFonts w:ascii="Arial" w:hAnsi="Arial" w:cs="Arial"/>
          <w:b/>
          <w:sz w:val="22"/>
          <w:szCs w:val="22"/>
        </w:rPr>
      </w:pPr>
    </w:p>
    <w:p w:rsidR="003154A2" w:rsidRDefault="00B65A3F" w:rsidP="003154A2">
      <w:pPr>
        <w:spacing w:before="100"/>
        <w:ind w:left="426"/>
        <w:jc w:val="center"/>
        <w:rPr>
          <w:rFonts w:ascii="Arial" w:hAnsi="Arial" w:cs="Arial"/>
          <w:b/>
          <w:sz w:val="22"/>
          <w:szCs w:val="22"/>
        </w:rPr>
      </w:pPr>
      <w:r w:rsidRPr="00B65A3F">
        <w:rPr>
          <w:rFonts w:ascii="Arial" w:hAnsi="Arial" w:cs="Arial"/>
          <w:b/>
          <w:sz w:val="22"/>
          <w:szCs w:val="22"/>
          <w:u w:val="single"/>
        </w:rPr>
        <w:t>C22</w:t>
      </w:r>
      <w:r w:rsidR="0010042F">
        <w:rPr>
          <w:rFonts w:ascii="Arial" w:hAnsi="Arial" w:cs="Arial"/>
          <w:b/>
          <w:sz w:val="22"/>
          <w:szCs w:val="22"/>
          <w:u w:val="single"/>
        </w:rPr>
        <w:t xml:space="preserve"> </w:t>
      </w:r>
      <w:r w:rsidRPr="00B65A3F">
        <w:rPr>
          <w:rFonts w:ascii="Arial" w:hAnsi="Arial" w:cs="Arial"/>
          <w:b/>
          <w:sz w:val="22"/>
          <w:szCs w:val="22"/>
          <w:u w:val="single"/>
        </w:rPr>
        <w:t xml:space="preserve">R5 </w:t>
      </w:r>
      <w:r w:rsidR="0010042F" w:rsidRPr="00B65A3F">
        <w:rPr>
          <w:rFonts w:ascii="Arial" w:hAnsi="Arial" w:cs="Arial"/>
          <w:b/>
          <w:sz w:val="22"/>
          <w:szCs w:val="22"/>
          <w:u w:val="single"/>
        </w:rPr>
        <w:t>MEJORAR EL SISTEMA DE PRESTACIONES ECONÓMICAS NO CONTRIBUTIVAS DE LA ADMINISTRACIÓN GENERAL</w:t>
      </w:r>
      <w:r w:rsidR="0010042F">
        <w:rPr>
          <w:rFonts w:ascii="Arial" w:hAnsi="Arial" w:cs="Arial"/>
          <w:b/>
          <w:sz w:val="22"/>
          <w:szCs w:val="22"/>
          <w:u w:val="single"/>
        </w:rPr>
        <w:t xml:space="preserve"> DEL ESTADO</w:t>
      </w:r>
    </w:p>
    <w:p w:rsidR="003154A2" w:rsidRDefault="003154A2" w:rsidP="00517824">
      <w:pPr>
        <w:spacing w:before="100"/>
        <w:ind w:left="426"/>
        <w:rPr>
          <w:rFonts w:ascii="Arial" w:hAnsi="Arial" w:cs="Arial"/>
          <w:b/>
          <w:sz w:val="22"/>
          <w:szCs w:val="22"/>
        </w:rPr>
      </w:pPr>
    </w:p>
    <w:p w:rsidR="0010042F" w:rsidRDefault="0010042F" w:rsidP="00517824">
      <w:pPr>
        <w:spacing w:before="100"/>
        <w:ind w:left="426"/>
        <w:rPr>
          <w:rFonts w:ascii="Arial" w:hAnsi="Arial" w:cs="Arial"/>
          <w:b/>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1. </w:t>
      </w:r>
      <w:r w:rsidR="0010042F" w:rsidRPr="00517824">
        <w:rPr>
          <w:rFonts w:ascii="Arial" w:hAnsi="Arial" w:cs="Arial"/>
          <w:b/>
          <w:sz w:val="22"/>
          <w:szCs w:val="22"/>
        </w:rPr>
        <w:t xml:space="preserve">DENOMINACIÓN DEL COMPONENTE </w:t>
      </w:r>
    </w:p>
    <w:p w:rsidR="00517824" w:rsidRPr="00517824" w:rsidRDefault="00B65A3F" w:rsidP="000A4F4B">
      <w:pPr>
        <w:spacing w:before="120" w:after="120" w:line="360" w:lineRule="exact"/>
        <w:ind w:firstLine="708"/>
        <w:jc w:val="both"/>
        <w:rPr>
          <w:rFonts w:ascii="Arial" w:hAnsi="Arial" w:cs="Arial"/>
          <w:sz w:val="22"/>
          <w:szCs w:val="22"/>
        </w:rPr>
      </w:pPr>
      <w:r w:rsidRPr="00B65A3F">
        <w:rPr>
          <w:rFonts w:ascii="Arial" w:hAnsi="Arial" w:cs="Arial"/>
          <w:sz w:val="22"/>
          <w:szCs w:val="22"/>
        </w:rPr>
        <w:t>Plan de choque para la economía de los cuidados y refuerzo de las políticas de</w:t>
      </w:r>
      <w:r w:rsidR="00CD4345">
        <w:rPr>
          <w:rFonts w:ascii="Arial" w:hAnsi="Arial" w:cs="Arial"/>
          <w:sz w:val="22"/>
          <w:szCs w:val="22"/>
        </w:rPr>
        <w:t xml:space="preserve"> igualdad e</w:t>
      </w:r>
      <w:r w:rsidRPr="00B65A3F">
        <w:rPr>
          <w:rFonts w:ascii="Arial" w:hAnsi="Arial" w:cs="Arial"/>
          <w:sz w:val="22"/>
          <w:szCs w:val="22"/>
        </w:rPr>
        <w:t xml:space="preserve"> inclusión</w:t>
      </w:r>
      <w:r w:rsidR="00CD4345">
        <w:rPr>
          <w:rFonts w:ascii="Arial" w:hAnsi="Arial" w:cs="Arial"/>
          <w:sz w:val="22"/>
          <w:szCs w:val="22"/>
        </w:rPr>
        <w:t>.</w:t>
      </w:r>
    </w:p>
    <w:p w:rsidR="00517824" w:rsidRPr="00517824" w:rsidRDefault="00517824"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2. </w:t>
      </w:r>
      <w:r w:rsidR="0010042F" w:rsidRPr="00517824">
        <w:rPr>
          <w:rFonts w:ascii="Arial" w:hAnsi="Arial" w:cs="Arial"/>
          <w:b/>
          <w:sz w:val="22"/>
          <w:szCs w:val="22"/>
        </w:rPr>
        <w:t>DESCRIPCIÓN GENERAL DEL COMPONENTE</w:t>
      </w:r>
    </w:p>
    <w:p w:rsidR="00B65A3F" w:rsidRPr="00B65A3F" w:rsidRDefault="00B65A3F" w:rsidP="000A4F4B">
      <w:pPr>
        <w:spacing w:before="120" w:after="120" w:line="360" w:lineRule="exact"/>
        <w:ind w:firstLine="708"/>
        <w:jc w:val="both"/>
        <w:rPr>
          <w:rFonts w:ascii="Arial" w:hAnsi="Arial" w:cs="Arial"/>
          <w:sz w:val="22"/>
          <w:szCs w:val="22"/>
        </w:rPr>
      </w:pPr>
      <w:r w:rsidRPr="00B65A3F">
        <w:rPr>
          <w:rFonts w:ascii="Arial" w:hAnsi="Arial" w:cs="Arial"/>
          <w:sz w:val="22"/>
          <w:szCs w:val="22"/>
        </w:rPr>
        <w:t>Uno de los elementos estratégicos del Plan es el refuerzo y la modernización de las políticas de cuidados y, en general, de los servicios sociales. En este marco, se refuerzan las políticas de atención a la dependencia impulsando el cambio en el modelo de cuidados de larga duración hacia una atención más centrada en la persona, e impulsando la desinstitucionalización.</w:t>
      </w:r>
    </w:p>
    <w:p w:rsidR="00B65A3F" w:rsidRPr="00B65A3F" w:rsidRDefault="00B65A3F" w:rsidP="000A4F4B">
      <w:pPr>
        <w:spacing w:before="120" w:after="120" w:line="360" w:lineRule="exact"/>
        <w:ind w:firstLine="708"/>
        <w:jc w:val="both"/>
        <w:rPr>
          <w:rFonts w:ascii="Arial" w:hAnsi="Arial" w:cs="Arial"/>
          <w:sz w:val="22"/>
          <w:szCs w:val="22"/>
        </w:rPr>
      </w:pPr>
      <w:r w:rsidRPr="00B65A3F">
        <w:rPr>
          <w:rFonts w:ascii="Arial" w:hAnsi="Arial" w:cs="Arial"/>
          <w:sz w:val="22"/>
          <w:szCs w:val="22"/>
        </w:rPr>
        <w:t xml:space="preserve">La atención integral de las personas más vulnerables requiere de un conjunto de políticas que permitan su plena inclusión social y laboral a partir de un nuevo modelo de inclusión social a partir del ingreso mínimo vital. </w:t>
      </w:r>
    </w:p>
    <w:p w:rsidR="00991697" w:rsidRDefault="00B65A3F" w:rsidP="000A4F4B">
      <w:pPr>
        <w:spacing w:before="120" w:after="120" w:line="360" w:lineRule="exact"/>
        <w:ind w:firstLine="708"/>
        <w:jc w:val="both"/>
        <w:rPr>
          <w:rFonts w:ascii="Arial" w:hAnsi="Arial" w:cs="Arial"/>
          <w:sz w:val="22"/>
          <w:szCs w:val="22"/>
        </w:rPr>
      </w:pPr>
      <w:r w:rsidRPr="00B65A3F">
        <w:rPr>
          <w:rFonts w:ascii="Arial" w:hAnsi="Arial" w:cs="Arial"/>
          <w:sz w:val="22"/>
          <w:szCs w:val="22"/>
        </w:rPr>
        <w:t>El componente se focaliza también en el refuerzo de la lucha contra la violencia machista extendiendo y haciendo accesibles los servicios de atención integral. Finalmente, se propone la reforma del sistema de atención humanitaria y acogida para solicitantes y beneficiarios de protección internacional, mediante el incremento de la capacidad y flexibilidad del sistema de acogida para ajustarla al tamaño actual de la demanda, así como reforzar la eficiencia del sistema en su dimensión prestacional.</w:t>
      </w:r>
    </w:p>
    <w:p w:rsidR="00B65A3F" w:rsidRPr="00517824" w:rsidRDefault="00B65A3F" w:rsidP="00B65A3F">
      <w:pPr>
        <w:spacing w:before="120" w:after="120" w:line="360" w:lineRule="exact"/>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3. </w:t>
      </w:r>
      <w:r w:rsidR="0010042F" w:rsidRPr="00517824">
        <w:rPr>
          <w:rFonts w:ascii="Arial" w:hAnsi="Arial" w:cs="Arial"/>
          <w:b/>
          <w:sz w:val="22"/>
          <w:szCs w:val="22"/>
        </w:rPr>
        <w:t>PRINCIPALES OBJETIVOS DEL COMPONENTE</w:t>
      </w:r>
    </w:p>
    <w:p w:rsidR="00B65A3F" w:rsidRPr="00B65A3F" w:rsidRDefault="00B65A3F" w:rsidP="000A4F4B">
      <w:pPr>
        <w:spacing w:before="120" w:after="120" w:line="360" w:lineRule="exact"/>
        <w:ind w:firstLine="708"/>
        <w:jc w:val="both"/>
        <w:rPr>
          <w:rFonts w:ascii="Arial" w:hAnsi="Arial" w:cs="Arial"/>
          <w:sz w:val="22"/>
          <w:szCs w:val="22"/>
        </w:rPr>
      </w:pPr>
      <w:r w:rsidRPr="00B65A3F">
        <w:rPr>
          <w:rFonts w:ascii="Arial" w:hAnsi="Arial" w:cs="Arial"/>
          <w:sz w:val="22"/>
          <w:szCs w:val="22"/>
        </w:rPr>
        <w:t>Se propone un nuevo modelo de inclusión a partir del Ingreso Mínimo Vital que aborda varios retos:</w:t>
      </w:r>
    </w:p>
    <w:p w:rsidR="00B65A3F" w:rsidRPr="00B65A3F" w:rsidRDefault="00B65A3F" w:rsidP="00B65A3F">
      <w:pPr>
        <w:spacing w:before="120" w:after="120" w:line="360" w:lineRule="exact"/>
        <w:jc w:val="both"/>
        <w:rPr>
          <w:rFonts w:ascii="Arial" w:hAnsi="Arial" w:cs="Arial"/>
          <w:sz w:val="22"/>
          <w:szCs w:val="22"/>
        </w:rPr>
      </w:pPr>
      <w:r w:rsidRPr="00B65A3F">
        <w:rPr>
          <w:rFonts w:ascii="Arial" w:hAnsi="Arial" w:cs="Arial"/>
          <w:sz w:val="22"/>
          <w:szCs w:val="22"/>
        </w:rPr>
        <w:t>i) Mejorar el sistema de prestaciones económicas no contributivas de la Administración General del Estado.</w:t>
      </w:r>
    </w:p>
    <w:p w:rsidR="00B65A3F" w:rsidRPr="00B65A3F" w:rsidRDefault="00B65A3F" w:rsidP="00B65A3F">
      <w:pPr>
        <w:spacing w:before="120" w:after="120" w:line="360" w:lineRule="exact"/>
        <w:jc w:val="both"/>
        <w:rPr>
          <w:rFonts w:ascii="Arial" w:hAnsi="Arial" w:cs="Arial"/>
          <w:sz w:val="22"/>
          <w:szCs w:val="22"/>
        </w:rPr>
      </w:pPr>
      <w:r w:rsidRPr="00B65A3F">
        <w:rPr>
          <w:rFonts w:ascii="Arial" w:hAnsi="Arial" w:cs="Arial"/>
          <w:sz w:val="22"/>
          <w:szCs w:val="22"/>
        </w:rPr>
        <w:t>ii) Fomentar la activación laboral de las personas beneficiarias del Ingreso Mínimo Vital. Sin embargo, más allá de la prestación monetaria, la atención integral de las personas más vulnerables requiere de un conjunto de políticas que permitan su plena inclusión social y laboral.</w:t>
      </w:r>
    </w:p>
    <w:p w:rsidR="00517824" w:rsidRDefault="00B65A3F" w:rsidP="00B65A3F">
      <w:pPr>
        <w:spacing w:before="120" w:after="120" w:line="360" w:lineRule="exact"/>
        <w:jc w:val="both"/>
        <w:rPr>
          <w:rFonts w:ascii="Arial" w:hAnsi="Arial" w:cs="Arial"/>
          <w:sz w:val="22"/>
          <w:szCs w:val="22"/>
        </w:rPr>
      </w:pPr>
      <w:r w:rsidRPr="00B65A3F">
        <w:rPr>
          <w:rFonts w:ascii="Arial" w:hAnsi="Arial" w:cs="Arial"/>
          <w:sz w:val="22"/>
          <w:szCs w:val="22"/>
        </w:rPr>
        <w:lastRenderedPageBreak/>
        <w:t>iii) Evitar la “trampa de la pobreza” y fomentar la coordinación y la gobernanza entre los agentes relevantes para la política de inclusión.</w:t>
      </w:r>
    </w:p>
    <w:p w:rsidR="00B65A3F" w:rsidRPr="00517824" w:rsidRDefault="00B65A3F" w:rsidP="00B65A3F">
      <w:pPr>
        <w:spacing w:before="120" w:after="120" w:line="360" w:lineRule="exact"/>
        <w:jc w:val="both"/>
        <w:rPr>
          <w:rFonts w:ascii="Arial" w:hAnsi="Arial" w:cs="Arial"/>
          <w:sz w:val="22"/>
          <w:szCs w:val="22"/>
        </w:rPr>
      </w:pPr>
    </w:p>
    <w:p w:rsidR="00517824" w:rsidRPr="00517824" w:rsidRDefault="00517824" w:rsidP="000A4F4B">
      <w:pPr>
        <w:spacing w:before="100" w:line="360" w:lineRule="auto"/>
        <w:rPr>
          <w:rFonts w:ascii="Arial" w:hAnsi="Arial" w:cs="Arial"/>
          <w:b/>
          <w:sz w:val="22"/>
          <w:szCs w:val="22"/>
        </w:rPr>
      </w:pPr>
      <w:r w:rsidRPr="00517824">
        <w:rPr>
          <w:rFonts w:ascii="Arial" w:hAnsi="Arial" w:cs="Arial"/>
          <w:b/>
          <w:sz w:val="22"/>
          <w:szCs w:val="22"/>
        </w:rPr>
        <w:t xml:space="preserve">4. </w:t>
      </w:r>
      <w:r w:rsidR="0010042F" w:rsidRPr="00517824">
        <w:rPr>
          <w:rFonts w:ascii="Arial" w:hAnsi="Arial" w:cs="Arial"/>
          <w:b/>
          <w:sz w:val="22"/>
          <w:szCs w:val="22"/>
        </w:rPr>
        <w:t>DESCRIPCIÓN DE LA INVERSIÓN</w:t>
      </w:r>
    </w:p>
    <w:p w:rsidR="00B65A3F" w:rsidRPr="00B65A3F" w:rsidRDefault="00B65A3F" w:rsidP="000A4F4B">
      <w:pPr>
        <w:spacing w:before="100" w:line="360" w:lineRule="auto"/>
        <w:ind w:firstLine="708"/>
        <w:jc w:val="both"/>
        <w:rPr>
          <w:rFonts w:ascii="Arial" w:hAnsi="Arial" w:cs="Arial"/>
          <w:sz w:val="22"/>
          <w:szCs w:val="22"/>
        </w:rPr>
      </w:pPr>
      <w:r>
        <w:rPr>
          <w:rFonts w:ascii="Arial" w:hAnsi="Arial" w:cs="Arial"/>
          <w:sz w:val="22"/>
          <w:szCs w:val="22"/>
        </w:rPr>
        <w:t xml:space="preserve">Aun siendo un hito de reforma tiene un coste puntual. </w:t>
      </w:r>
      <w:r w:rsidRPr="00B65A3F">
        <w:rPr>
          <w:rFonts w:ascii="Arial" w:hAnsi="Arial" w:cs="Arial"/>
          <w:sz w:val="22"/>
          <w:szCs w:val="22"/>
        </w:rPr>
        <w:t>C22.R05 (Reforma 5)</w:t>
      </w:r>
      <w:r w:rsidR="00CD4345">
        <w:rPr>
          <w:rFonts w:ascii="Arial" w:hAnsi="Arial" w:cs="Arial"/>
          <w:sz w:val="22"/>
          <w:szCs w:val="22"/>
        </w:rPr>
        <w:t>.</w:t>
      </w:r>
    </w:p>
    <w:p w:rsidR="00B65A3F" w:rsidRPr="00B65A3F" w:rsidRDefault="00B65A3F" w:rsidP="000A4F4B">
      <w:pPr>
        <w:spacing w:before="100" w:line="360" w:lineRule="auto"/>
        <w:ind w:firstLine="708"/>
        <w:jc w:val="both"/>
        <w:rPr>
          <w:rFonts w:ascii="Arial" w:hAnsi="Arial" w:cs="Arial"/>
          <w:sz w:val="22"/>
          <w:szCs w:val="22"/>
        </w:rPr>
      </w:pPr>
      <w:r w:rsidRPr="00B65A3F">
        <w:rPr>
          <w:rFonts w:ascii="Arial" w:hAnsi="Arial" w:cs="Arial"/>
          <w:sz w:val="22"/>
          <w:szCs w:val="22"/>
        </w:rPr>
        <w:t xml:space="preserve">Mejorar el sistema de prestaciones económicas no contributivas de la Administración General del Estado. </w:t>
      </w:r>
    </w:p>
    <w:p w:rsidR="00517824" w:rsidRDefault="00B65A3F" w:rsidP="000A4F4B">
      <w:pPr>
        <w:spacing w:before="100" w:line="360" w:lineRule="auto"/>
        <w:ind w:firstLine="708"/>
        <w:jc w:val="both"/>
        <w:rPr>
          <w:rFonts w:ascii="Arial" w:hAnsi="Arial" w:cs="Arial"/>
          <w:sz w:val="22"/>
          <w:szCs w:val="22"/>
        </w:rPr>
      </w:pPr>
      <w:r w:rsidRPr="00B65A3F">
        <w:rPr>
          <w:rFonts w:ascii="Arial" w:hAnsi="Arial" w:cs="Arial"/>
          <w:sz w:val="22"/>
          <w:szCs w:val="22"/>
        </w:rPr>
        <w:t>Las prestaciones no contributivas y asistenciales presentan un alto nivel de fragmentación en nuestro país que, en muchos casos, las vuelve ineficientes. Se propone una progresiva reorganización del conjunto de prestaciones estatales de naturaleza no contributiva para hacer el sistema más eficiente.</w:t>
      </w:r>
    </w:p>
    <w:p w:rsidR="00B65A3F" w:rsidRPr="00517824" w:rsidRDefault="00B65A3F" w:rsidP="000A4F4B">
      <w:pPr>
        <w:spacing w:before="100" w:line="360" w:lineRule="auto"/>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10042F"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517824" w:rsidTr="00A06941">
        <w:trPr>
          <w:trHeight w:val="337"/>
          <w:tblHeader/>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Periodificación</w:t>
            </w:r>
          </w:p>
        </w:tc>
        <w:tc>
          <w:tcPr>
            <w:tcW w:w="103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2020</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2021</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2022</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2023</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2024</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2025</w:t>
            </w:r>
          </w:p>
        </w:tc>
        <w:tc>
          <w:tcPr>
            <w:tcW w:w="953"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2026</w:t>
            </w:r>
          </w:p>
        </w:tc>
        <w:tc>
          <w:tcPr>
            <w:tcW w:w="1021"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Total</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Coste del Mecanismo</w:t>
            </w:r>
          </w:p>
        </w:tc>
        <w:tc>
          <w:tcPr>
            <w:tcW w:w="1037" w:type="dxa"/>
            <w:vAlign w:val="center"/>
          </w:tcPr>
          <w:p w:rsidR="00517824" w:rsidRPr="00CA5DBC" w:rsidRDefault="00517824" w:rsidP="00517824">
            <w:pPr>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B65A3F" w:rsidP="00517824">
            <w:pPr>
              <w:ind w:left="-83"/>
              <w:jc w:val="right"/>
              <w:rPr>
                <w:rFonts w:ascii="Arial" w:hAnsi="Arial" w:cs="Arial"/>
                <w:noProof/>
                <w:sz w:val="12"/>
                <w:szCs w:val="12"/>
              </w:rPr>
            </w:pPr>
            <w:r w:rsidRPr="00B65A3F">
              <w:rPr>
                <w:rFonts w:ascii="Arial" w:hAnsi="Arial" w:cs="Arial"/>
                <w:noProof/>
                <w:sz w:val="12"/>
                <w:szCs w:val="12"/>
              </w:rPr>
              <w:t>2.835,36</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B65A3F" w:rsidP="00517824">
            <w:pPr>
              <w:ind w:left="-83"/>
              <w:jc w:val="right"/>
              <w:rPr>
                <w:rFonts w:ascii="Arial" w:hAnsi="Arial" w:cs="Arial"/>
                <w:noProof/>
                <w:sz w:val="12"/>
                <w:szCs w:val="12"/>
              </w:rPr>
            </w:pPr>
            <w:r w:rsidRPr="00B65A3F">
              <w:rPr>
                <w:rFonts w:ascii="Arial" w:hAnsi="Arial" w:cs="Arial"/>
                <w:noProof/>
                <w:sz w:val="12"/>
                <w:szCs w:val="12"/>
              </w:rPr>
              <w:t>2.835,36</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Otra financiación</w:t>
            </w:r>
          </w:p>
        </w:tc>
        <w:tc>
          <w:tcPr>
            <w:tcW w:w="103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Total</w:t>
            </w:r>
          </w:p>
        </w:tc>
        <w:tc>
          <w:tcPr>
            <w:tcW w:w="103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B65A3F" w:rsidP="00517824">
            <w:pPr>
              <w:ind w:left="-83"/>
              <w:jc w:val="right"/>
              <w:rPr>
                <w:rFonts w:ascii="Arial" w:hAnsi="Arial" w:cs="Arial"/>
                <w:noProof/>
                <w:sz w:val="12"/>
                <w:szCs w:val="12"/>
              </w:rPr>
            </w:pPr>
            <w:r w:rsidRPr="00B65A3F">
              <w:rPr>
                <w:rFonts w:ascii="Arial" w:hAnsi="Arial" w:cs="Arial"/>
                <w:noProof/>
                <w:sz w:val="12"/>
                <w:szCs w:val="12"/>
              </w:rPr>
              <w:t>2.835,36</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B65A3F" w:rsidP="00517824">
            <w:pPr>
              <w:ind w:left="-83"/>
              <w:jc w:val="right"/>
              <w:rPr>
                <w:rFonts w:ascii="Arial" w:hAnsi="Arial" w:cs="Arial"/>
                <w:noProof/>
                <w:sz w:val="12"/>
                <w:szCs w:val="12"/>
              </w:rPr>
            </w:pPr>
            <w:r w:rsidRPr="00B65A3F">
              <w:rPr>
                <w:rFonts w:ascii="Arial" w:hAnsi="Arial" w:cs="Arial"/>
                <w:noProof/>
                <w:sz w:val="12"/>
                <w:szCs w:val="12"/>
              </w:rPr>
              <w:t>2.835,36</w:t>
            </w:r>
          </w:p>
        </w:tc>
      </w:tr>
    </w:tbl>
    <w:p w:rsidR="00517824" w:rsidRDefault="00517824" w:rsidP="008B3CA0">
      <w:pPr>
        <w:spacing w:before="100"/>
        <w:rPr>
          <w:rFonts w:ascii="Arial" w:hAnsi="Arial" w:cs="Arial"/>
          <w:sz w:val="22"/>
          <w:szCs w:val="22"/>
        </w:rPr>
      </w:pPr>
    </w:p>
    <w:p w:rsidR="0010042F" w:rsidRPr="00517824" w:rsidRDefault="0010042F" w:rsidP="008B3CA0">
      <w:pPr>
        <w:spacing w:before="100"/>
        <w:rPr>
          <w:rFonts w:ascii="Arial" w:hAnsi="Arial" w:cs="Arial"/>
          <w:sz w:val="22"/>
          <w:szCs w:val="22"/>
        </w:rPr>
      </w:pPr>
    </w:p>
    <w:p w:rsid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10042F" w:rsidRPr="00517824">
        <w:rPr>
          <w:rFonts w:ascii="Arial" w:hAnsi="Arial" w:cs="Arial"/>
          <w:b/>
          <w:sz w:val="22"/>
          <w:szCs w:val="22"/>
        </w:rPr>
        <w:t xml:space="preserve">HITOS Y OBJETIVOS DE LA INVERSIÓN </w:t>
      </w:r>
    </w:p>
    <w:p w:rsidR="00B65A3F" w:rsidRDefault="00B65A3F" w:rsidP="008B3CA0">
      <w:pPr>
        <w:spacing w:before="100"/>
        <w:rPr>
          <w:rFonts w:ascii="Arial" w:hAnsi="Arial" w:cs="Arial"/>
          <w:b/>
          <w:sz w:val="22"/>
          <w:szCs w:val="22"/>
        </w:rPr>
      </w:pPr>
    </w:p>
    <w:p w:rsidR="000F02D6" w:rsidRDefault="000F02D6" w:rsidP="000F02D6">
      <w:pPr>
        <w:pStyle w:val="Prrafodelista"/>
        <w:numPr>
          <w:ilvl w:val="0"/>
          <w:numId w:val="6"/>
        </w:numPr>
        <w:spacing w:before="120" w:after="120" w:line="360" w:lineRule="exact"/>
        <w:ind w:left="714" w:hanging="357"/>
        <w:jc w:val="both"/>
        <w:rPr>
          <w:rFonts w:ascii="Arial" w:hAnsi="Arial" w:cs="Arial"/>
          <w:sz w:val="22"/>
          <w:szCs w:val="22"/>
        </w:rPr>
      </w:pPr>
      <w:r w:rsidRPr="000F02D6">
        <w:rPr>
          <w:rFonts w:ascii="Arial" w:hAnsi="Arial" w:cs="Arial"/>
          <w:sz w:val="22"/>
          <w:szCs w:val="22"/>
        </w:rPr>
        <w:t>Entrada en vigor del Real Decreto Ley 20/2020, de 29 de mayo por el que se aprueba el ingreso mínimo vital</w:t>
      </w:r>
      <w:r>
        <w:rPr>
          <w:rFonts w:ascii="Arial" w:hAnsi="Arial" w:cs="Arial"/>
          <w:sz w:val="22"/>
          <w:szCs w:val="22"/>
        </w:rPr>
        <w:t xml:space="preserve"> (2020 - Q2)</w:t>
      </w:r>
      <w:r w:rsidR="00E4102B">
        <w:rPr>
          <w:rFonts w:ascii="Arial" w:hAnsi="Arial" w:cs="Arial"/>
          <w:sz w:val="22"/>
          <w:szCs w:val="22"/>
        </w:rPr>
        <w:t>.</w:t>
      </w:r>
    </w:p>
    <w:p w:rsidR="000F02D6" w:rsidRDefault="000F02D6" w:rsidP="000F02D6">
      <w:pPr>
        <w:pStyle w:val="Prrafodelista"/>
        <w:numPr>
          <w:ilvl w:val="0"/>
          <w:numId w:val="6"/>
        </w:numPr>
        <w:spacing w:before="120" w:after="120" w:line="360" w:lineRule="exact"/>
        <w:ind w:left="714" w:hanging="357"/>
        <w:jc w:val="both"/>
        <w:rPr>
          <w:rFonts w:ascii="Arial" w:hAnsi="Arial" w:cs="Arial"/>
          <w:sz w:val="22"/>
          <w:szCs w:val="22"/>
        </w:rPr>
      </w:pPr>
      <w:r w:rsidRPr="000F02D6">
        <w:rPr>
          <w:rFonts w:ascii="Arial" w:hAnsi="Arial" w:cs="Arial"/>
          <w:sz w:val="22"/>
          <w:szCs w:val="22"/>
        </w:rPr>
        <w:t>Publicación del Plan de reorganización y simplificación del sistema de prestaciones económicas no contributivas de la Administración General del Estado</w:t>
      </w:r>
      <w:r>
        <w:rPr>
          <w:rFonts w:ascii="Arial" w:hAnsi="Arial" w:cs="Arial"/>
          <w:sz w:val="22"/>
          <w:szCs w:val="22"/>
        </w:rPr>
        <w:t xml:space="preserve"> (2022 – Q3)</w:t>
      </w:r>
      <w:r w:rsidR="00E4102B">
        <w:rPr>
          <w:rFonts w:ascii="Arial" w:hAnsi="Arial" w:cs="Arial"/>
          <w:sz w:val="22"/>
          <w:szCs w:val="22"/>
        </w:rPr>
        <w:t>.</w:t>
      </w:r>
    </w:p>
    <w:p w:rsidR="000F02D6" w:rsidRPr="000F02D6" w:rsidRDefault="000F02D6" w:rsidP="000F02D6">
      <w:pPr>
        <w:pStyle w:val="Prrafodelista"/>
        <w:numPr>
          <w:ilvl w:val="0"/>
          <w:numId w:val="6"/>
        </w:numPr>
        <w:spacing w:before="120" w:after="120" w:line="360" w:lineRule="exact"/>
        <w:ind w:left="714" w:hanging="357"/>
        <w:jc w:val="both"/>
        <w:rPr>
          <w:rFonts w:ascii="Arial" w:hAnsi="Arial" w:cs="Arial"/>
          <w:sz w:val="22"/>
          <w:szCs w:val="22"/>
        </w:rPr>
      </w:pPr>
      <w:r w:rsidRPr="000F02D6">
        <w:rPr>
          <w:rFonts w:ascii="Arial" w:hAnsi="Arial" w:cs="Arial"/>
          <w:sz w:val="22"/>
          <w:szCs w:val="22"/>
        </w:rPr>
        <w:t>Entrada en vigor de legislación para reorganizar y simplificar el sistema de prestaciones económicas no contributivas</w:t>
      </w:r>
      <w:r>
        <w:rPr>
          <w:rFonts w:ascii="Arial" w:hAnsi="Arial" w:cs="Arial"/>
          <w:sz w:val="22"/>
          <w:szCs w:val="22"/>
        </w:rPr>
        <w:t xml:space="preserve"> (2023 – Q4)</w:t>
      </w:r>
      <w:r w:rsidR="00E4102B">
        <w:rPr>
          <w:rFonts w:ascii="Arial" w:hAnsi="Arial" w:cs="Arial"/>
          <w:sz w:val="22"/>
          <w:szCs w:val="22"/>
        </w:rPr>
        <w:t>.</w:t>
      </w:r>
    </w:p>
    <w:p w:rsidR="008B3CA0" w:rsidRPr="00517824" w:rsidRDefault="008B3CA0" w:rsidP="008B3CA0"/>
    <w:sectPr w:rsidR="008B3CA0" w:rsidRPr="0051782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F6C4D12"/>
    <w:multiLevelType w:val="hybridMultilevel"/>
    <w:tmpl w:val="F6C6C19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B0D1931"/>
    <w:multiLevelType w:val="hybridMultilevel"/>
    <w:tmpl w:val="315C27B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FF60A22"/>
    <w:multiLevelType w:val="hybridMultilevel"/>
    <w:tmpl w:val="CC58089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A4F4B"/>
    <w:rsid w:val="000C68A4"/>
    <w:rsid w:val="000F02D6"/>
    <w:rsid w:val="000F3FBB"/>
    <w:rsid w:val="0010042F"/>
    <w:rsid w:val="001A5F87"/>
    <w:rsid w:val="001B34B9"/>
    <w:rsid w:val="002F0C59"/>
    <w:rsid w:val="003154A2"/>
    <w:rsid w:val="003208C4"/>
    <w:rsid w:val="00343745"/>
    <w:rsid w:val="00382F6E"/>
    <w:rsid w:val="003A7E9B"/>
    <w:rsid w:val="003D56D8"/>
    <w:rsid w:val="0046397C"/>
    <w:rsid w:val="00517824"/>
    <w:rsid w:val="00564761"/>
    <w:rsid w:val="005B477A"/>
    <w:rsid w:val="005C4BF4"/>
    <w:rsid w:val="006F018F"/>
    <w:rsid w:val="007B6373"/>
    <w:rsid w:val="007E37FC"/>
    <w:rsid w:val="007F3B1F"/>
    <w:rsid w:val="008076C5"/>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9503D"/>
    <w:rsid w:val="00AE318F"/>
    <w:rsid w:val="00AF5C2E"/>
    <w:rsid w:val="00B30BB6"/>
    <w:rsid w:val="00B65A3F"/>
    <w:rsid w:val="00B6769D"/>
    <w:rsid w:val="00B80D92"/>
    <w:rsid w:val="00BB64BC"/>
    <w:rsid w:val="00BE5B5A"/>
    <w:rsid w:val="00C87CB2"/>
    <w:rsid w:val="00CA5DBC"/>
    <w:rsid w:val="00CB75ED"/>
    <w:rsid w:val="00CD4345"/>
    <w:rsid w:val="00D46D8D"/>
    <w:rsid w:val="00E4102B"/>
    <w:rsid w:val="00ED092E"/>
    <w:rsid w:val="00F92F51"/>
    <w:rsid w:val="00FC0E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C9027-534A-4151-A4F6-767762FC2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514</Words>
  <Characters>3114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Limón Vázquez, Rocío</cp:lastModifiedBy>
  <cp:revision>9</cp:revision>
  <cp:lastPrinted>2021-06-09T11:44:00Z</cp:lastPrinted>
  <dcterms:created xsi:type="dcterms:W3CDTF">2021-09-03T17:57:00Z</dcterms:created>
  <dcterms:modified xsi:type="dcterms:W3CDTF">2022-06-13T11:10:00Z</dcterms:modified>
</cp:coreProperties>
</file>